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1F3B57"/>
          <w:sz w:val="44"/>
          <w:szCs w:val="44"/>
        </w:rPr>
        <w:t xml:space="preserve">EXVI</w:t>
      </w:r>
    </w:p>
    <w:p>
      <w:pPr>
        <w:spacing w:after="40"/>
        <w:jc w:val="center"/>
      </w:pPr>
      <w:r>
        <w:rPr>
          <w:b/>
          <w:bCs/>
          <w:color w:val="C97B3D"/>
          <w:sz w:val="28"/>
          <w:szCs w:val="28"/>
        </w:rPr>
        <w:t xml:space="preserve">Diagnóstico comercial y plan de acción</w:t>
      </w:r>
    </w:p>
    <w:p>
      <w:pPr>
        <w:spacing w:after="300"/>
        <w:jc w:val="center"/>
      </w:pPr>
      <w:r>
        <w:rPr>
          <w:i/>
          <w:iCs/>
          <w:color w:val="666666"/>
          <w:sz w:val="20"/>
          <w:szCs w:val="20"/>
        </w:rPr>
        <w:t xml:space="preserve">Preparado por Nifty Agency — Agosto 2026</w:t>
      </w:r>
    </w:p>
    <w:p>
      <w:pPr>
        <w:pStyle w:val="Heading1"/>
        <w:pBdr>
          <w:bottom w:val="single" w:color="1F3B57" w:sz="6" w:space="4"/>
        </w:pBdr>
        <w:spacing w:after="160" w:before="320"/>
      </w:pPr>
      <w:r>
        <w:rPr>
          <w:b/>
          <w:bCs/>
          <w:color w:val="1F3B57"/>
          <w:sz w:val="28"/>
          <w:szCs w:val="28"/>
        </w:rPr>
        <w:t xml:space="preserve">Resumen ejecutivo</w:t>
      </w:r>
    </w:p>
    <w:p>
      <w:pPr>
        <w:spacing w:after="120"/>
      </w:pPr>
      <w:r>
        <w:rPr>
          <w:sz w:val="21"/>
          <w:szCs w:val="21"/>
        </w:rPr>
        <w:t xml:space="preserve">EXVI tiene una cartera de clientes que respalda su calidad de trabajo (Sthil, EY, Magistral, Barentz, Agencia Travel Tips, entre otros), pero el sitio y la comunicación actual no transmiten esa trayectoria: faltan casos de éxito, testimonios, diferenciales y respuestas a objeciones típicas de una compra B2B. A esto se suma una caída estacional de pedidos entre abril y julio, período en el que conviene generar ocasiones de compra propias y anticipar la temporada alta de fin de año en lugar de esperarla.</w:t>
      </w:r>
    </w:p>
    <w:p>
      <w:pPr>
        <w:pStyle w:val="Heading1"/>
        <w:pBdr>
          <w:bottom w:val="single" w:color="1F3B57" w:sz="6" w:space="4"/>
        </w:pBdr>
        <w:spacing w:after="160" w:before="320"/>
      </w:pPr>
      <w:r>
        <w:rPr>
          <w:b/>
          <w:bCs/>
          <w:color w:val="1F3B57"/>
          <w:sz w:val="28"/>
          <w:szCs w:val="28"/>
        </w:rPr>
        <w:t xml:space="preserve">Diagnóstico rápido del sitio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El home todavía muestra productos con nombres genéricos ("Art.01", "Art.02") y la sección "Marcas que confían" tiene 9 espacios de logo vacíos, pese a contar con clientes de peso.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El meta-description y la bajada del home mezclan B2B ("acciones corporativas") con eventos sociales ("cumpleaños de 15, casamientos"), lo que diluye el posicionamiento si el objetivo es afianzar B2B.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No hay casos de éxito, cifras de unidades entregadas ni testimonios de clientes visibles en ninguna página.</w:t>
      </w:r>
    </w:p>
    <w:p>
      <w:pPr>
        <w:pStyle w:val="Heading1"/>
        <w:pBdr>
          <w:bottom w:val="single" w:color="1F3B57" w:sz="6" w:space="4"/>
        </w:pBdr>
        <w:spacing w:after="160" w:before="320"/>
      </w:pPr>
      <w:r>
        <w:rPr>
          <w:b/>
          <w:bCs/>
          <w:color w:val="1F3B57"/>
          <w:sz w:val="28"/>
          <w:szCs w:val="28"/>
        </w:rPr>
        <w:t xml:space="preserve">Evaluación según las 7 Maletas de la compra</w:t>
      </w:r>
    </w:p>
    <w:p>
      <w:pPr>
        <w:spacing w:after="120"/>
      </w:pPr>
      <w:r>
        <w:rPr>
          <w:sz w:val="21"/>
          <w:szCs w:val="21"/>
        </w:rPr>
        <w:t xml:space="preserve">Framework de D'Souza: ninguna decisión de compra se cierra hasta que las 7 "maletas" psicológicas del comprador bajan de la cinta. EXVI resuelve bien la maleta 3 (Solución) pero deja abiertas las maletas 5, 6 y 7 — que son justamente las que sacan la duda final a una empresa que compra por primera vez.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400"/>
      </w:tblGrid>
      <w:tr>
        <w:trPr>
          <w:tblHeader/>
        </w:trPr>
        <w:tc>
          <w:tcPr>
            <w:tcW w:type="dxa" w:w="2200"/>
            <w:shd w:fill="1F3B57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Maleta</w:t>
            </w:r>
          </w:p>
        </w:tc>
        <w:tc>
          <w:tcPr>
            <w:tcW w:type="dxa" w:w="7400"/>
            <w:shd w:fill="1F3B57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Diagnóstico</w:t>
            </w:r>
          </w:p>
        </w:tc>
      </w:tr>
      <w:tr>
        <w:tc>
          <w:tcPr>
            <w:tcW w:type="dxa" w:w="22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/>
                <w:bCs/>
                <w:color w:val="1A1A1A"/>
                <w:sz w:val="18"/>
                <w:szCs w:val="18"/>
              </w:rPr>
              <w:t xml:space="preserve">1. Público</w:t>
            </w:r>
          </w:p>
        </w:tc>
        <w:tc>
          <w:tcPr>
            <w:tcW w:type="dxa" w:w="74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 w:val="false"/>
                <w:bCs w:val="false"/>
                <w:color w:val="1A1A1A"/>
                <w:sz w:val="18"/>
                <w:szCs w:val="18"/>
              </w:rPr>
              <w:t xml:space="preserve">Poco definido en el sitio. Falta segmentar por rol de decisión: RRHH (uniformes, kits de bienvenida), Marketing (branding, eventos) o Compras (volumen, licitaciones).</w:t>
            </w:r>
          </w:p>
        </w:tc>
      </w:tr>
      <w:tr>
        <w:tc>
          <w:tcPr>
            <w:tcW w:type="dxa" w:w="2200"/>
            <w:shd w:fill="EDEFF2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/>
                <w:bCs/>
                <w:color w:val="1A1A1A"/>
                <w:sz w:val="18"/>
                <w:szCs w:val="18"/>
              </w:rPr>
              <w:t xml:space="preserve">2. Problema</w:t>
            </w:r>
          </w:p>
        </w:tc>
        <w:tc>
          <w:tcPr>
            <w:tcW w:type="dxa" w:w="7400"/>
            <w:shd w:fill="EDEFF2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 w:val="false"/>
                <w:bCs w:val="false"/>
                <w:color w:val="1A1A1A"/>
                <w:sz w:val="18"/>
                <w:szCs w:val="18"/>
              </w:rPr>
              <w:t xml:space="preserve">No está explícito. Falta nombrar los dolores reales: llegar a tiempo a un evento, uniformar con calidad pareja, proveedor confiable en todo el país.</w:t>
            </w:r>
          </w:p>
        </w:tc>
      </w:tr>
      <w:tr>
        <w:tc>
          <w:tcPr>
            <w:tcW w:type="dxa" w:w="22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/>
                <w:bCs/>
                <w:color w:val="1A1A1A"/>
                <w:sz w:val="18"/>
                <w:szCs w:val="18"/>
              </w:rPr>
              <w:t xml:space="preserve">3. Solución</w:t>
            </w:r>
          </w:p>
        </w:tc>
        <w:tc>
          <w:tcPr>
            <w:tcW w:type="dxa" w:w="74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 w:val="false"/>
                <w:bCs w:val="false"/>
                <w:color w:val="1A1A1A"/>
                <w:sz w:val="18"/>
                <w:szCs w:val="18"/>
              </w:rPr>
              <w:t xml:space="preserve">Punto más fuerte hoy. Catálogo amplio (drinkware, marroquinería, indumentaria, promocionales, kits) y acompañamiento personalizado en cada etapa.</w:t>
            </w:r>
          </w:p>
        </w:tc>
      </w:tr>
      <w:tr>
        <w:tc>
          <w:tcPr>
            <w:tcW w:type="dxa" w:w="2200"/>
            <w:shd w:fill="EDEFF2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/>
                <w:bCs/>
                <w:color w:val="1A1A1A"/>
                <w:sz w:val="18"/>
                <w:szCs w:val="18"/>
              </w:rPr>
              <w:t xml:space="preserve">4. Diferenciales</w:t>
            </w:r>
          </w:p>
        </w:tc>
        <w:tc>
          <w:tcPr>
            <w:tcW w:type="dxa" w:w="7400"/>
            <w:shd w:fill="EDEFF2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 w:val="false"/>
                <w:bCs w:val="false"/>
                <w:color w:val="1A1A1A"/>
                <w:sz w:val="18"/>
                <w:szCs w:val="18"/>
              </w:rPr>
              <w:t xml:space="preserve">Ausentes en el sitio. 3 años en el mercado, diseño propio, entrega a todo el país y especialización en branding no se comunican como argumento de venta.</w:t>
            </w:r>
          </w:p>
        </w:tc>
      </w:tr>
      <w:tr>
        <w:tc>
          <w:tcPr>
            <w:tcW w:type="dxa" w:w="22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/>
                <w:bCs/>
                <w:color w:val="1A1A1A"/>
                <w:sz w:val="18"/>
                <w:szCs w:val="18"/>
              </w:rPr>
              <w:t xml:space="preserve">5. Testimonios</w:t>
            </w:r>
          </w:p>
        </w:tc>
        <w:tc>
          <w:tcPr>
            <w:tcW w:type="dxa" w:w="74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 w:val="false"/>
                <w:bCs w:val="false"/>
                <w:color w:val="1A1A1A"/>
                <w:sz w:val="18"/>
                <w:szCs w:val="18"/>
              </w:rPr>
              <w:t xml:space="preserve">El bache más grande. Clientes de peso (Sthil, EY, Magistral, Barentz, Travel Tips) no se muestran: logos vacíos, sin casos de éxito ni cifras.</w:t>
            </w:r>
          </w:p>
        </w:tc>
      </w:tr>
      <w:tr>
        <w:tc>
          <w:tcPr>
            <w:tcW w:type="dxa" w:w="2200"/>
            <w:shd w:fill="EDEFF2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/>
                <w:bCs/>
                <w:color w:val="1A1A1A"/>
                <w:sz w:val="18"/>
                <w:szCs w:val="18"/>
              </w:rPr>
              <w:t xml:space="preserve">6. Objeciones</w:t>
            </w:r>
          </w:p>
        </w:tc>
        <w:tc>
          <w:tcPr>
            <w:tcW w:type="dxa" w:w="7400"/>
            <w:shd w:fill="EDEFF2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 w:val="false"/>
                <w:bCs w:val="false"/>
                <w:color w:val="1A1A1A"/>
                <w:sz w:val="18"/>
                <w:szCs w:val="18"/>
              </w:rPr>
              <w:t xml:space="preserve">No hay FAQ comercial de B2B (mínimos de compra, plazos, facturación a empresas, muestras antes de producir, personalización por sucursal).</w:t>
            </w:r>
          </w:p>
        </w:tc>
      </w:tr>
      <w:tr>
        <w:tc>
          <w:tcPr>
            <w:tcW w:type="dxa" w:w="22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/>
                <w:bCs/>
                <w:color w:val="1A1A1A"/>
                <w:sz w:val="18"/>
                <w:szCs w:val="18"/>
              </w:rPr>
              <w:t xml:space="preserve">7. Garantía</w:t>
            </w:r>
          </w:p>
        </w:tc>
        <w:tc>
          <w:tcPr>
            <w:tcW w:type="dxa" w:w="74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 w:val="false"/>
                <w:bCs w:val="false"/>
                <w:color w:val="1A1A1A"/>
                <w:sz w:val="18"/>
                <w:szCs w:val="18"/>
              </w:rPr>
              <w:t xml:space="preserve">No comunicada: reposición ante defectos, revisión de arte previa a producción, cumplimiento de fecha de entrega.</w:t>
            </w:r>
          </w:p>
        </w:tc>
      </w:tr>
    </w:tbl>
    <w:p>
      <w:pPr>
        <w:pStyle w:val="Heading1"/>
        <w:pBdr>
          <w:bottom w:val="single" w:color="1F3B57" w:sz="6" w:space="4"/>
        </w:pBdr>
        <w:spacing w:after="160" w:before="320"/>
      </w:pPr>
      <w:r>
        <w:rPr>
          <w:b/>
          <w:bCs/>
          <w:color w:val="1F3B57"/>
          <w:sz w:val="28"/>
          <w:szCs w:val="28"/>
        </w:rPr>
        <w:t xml:space="preserve">Plan de acción</w:t>
      </w:r>
    </w:p>
    <w:p>
      <w:pPr>
        <w:pStyle w:val="Heading2"/>
        <w:spacing w:after="100" w:before="240"/>
      </w:pPr>
      <w:r>
        <w:rPr>
          <w:b/>
          <w:bCs/>
          <w:color w:val="C97B3D"/>
          <w:sz w:val="24"/>
          <w:szCs w:val="24"/>
        </w:rPr>
        <w:t xml:space="preserve">A. Arreglos urgentes de sitio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Cargar los logos reales en "Marcas que confían" (con permiso del cliente).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Sumar 3-4 casos de éxito con foto, cliente, cantidad de unidades y objetivo del pedido.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Renombrar productos genéricos, útil también para SEO.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Separar la comunicación B2B de la de eventos sociales, aunque sea con dos landing distintas.</w:t>
      </w:r>
    </w:p>
    <w:p>
      <w:pPr>
        <w:pStyle w:val="Heading2"/>
        <w:spacing w:after="100" w:before="240"/>
      </w:pPr>
      <w:r>
        <w:rPr>
          <w:b/>
          <w:bCs/>
          <w:color w:val="C97B3D"/>
          <w:sz w:val="24"/>
          <w:szCs w:val="24"/>
        </w:rPr>
        <w:t xml:space="preserve">B. Generar ocasión de compra en el valle abril-julio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Día del Amigo (20/7) y Día del Trabajador (1/5): kits de bajo costo por persona para RRHH.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Cierre de primer semestre: kits de "mitad de año" para equipos comerciales.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Renovación de uniformes de invierno (buzos, camperas) para clientes con uniformes de verano ya entregados.</w:t>
      </w:r>
    </w:p>
    <w:p>
      <w:pPr>
        <w:pStyle w:val="Heading2"/>
        <w:spacing w:after="100" w:before="240"/>
      </w:pPr>
      <w:r>
        <w:rPr>
          <w:b/>
          <w:bCs/>
          <w:color w:val="C97B3D"/>
          <w:sz w:val="24"/>
          <w:szCs w:val="24"/>
        </w:rPr>
        <w:t xml:space="preserve">C. Anticipar la temporada alta desde el valle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Contactar en abril-mayo a la cartera actual para reservar producción de fin de año con condiciones preferenciales por definición temprana.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Ofrecer descuento por "reserva anticipada" o por definir cantidad estimada antes de agosto.</w:t>
      </w:r>
    </w:p>
    <w:p>
      <w:pPr>
        <w:pStyle w:val="Heading2"/>
        <w:spacing w:after="100" w:before="240"/>
      </w:pPr>
      <w:r>
        <w:rPr>
          <w:b/>
          <w:bCs/>
          <w:color w:val="C97B3D"/>
          <w:sz w:val="24"/>
          <w:szCs w:val="24"/>
        </w:rPr>
        <w:t xml:space="preserve">D. Ingresos recurrentes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Contrato de reposición trimestral de uniformes para empresas con alta rotación de personal.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Suscripción de kits de bienvenida con facturación mensual para clientes con onboarding constante.</w:t>
      </w:r>
    </w:p>
    <w:p>
      <w:pPr>
        <w:pStyle w:val="Heading2"/>
        <w:spacing w:after="100" w:before="240"/>
      </w:pPr>
      <w:r>
        <w:rPr>
          <w:b/>
          <w:bCs/>
          <w:color w:val="C97B3D"/>
          <w:sz w:val="24"/>
          <w:szCs w:val="24"/>
        </w:rPr>
        <w:t xml:space="preserve">E. Contenido en Instagram (@exvi.ba)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Mostrar proceso de producción y personalización durante el valle, sin depender de pedidos activos.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Testimonios en video corto de contactos de RRHH/Marketing de clientes actuales.</w:t>
      </w:r>
    </w:p>
    <w:p>
      <w:pPr>
        <w:pStyle w:val="Heading1"/>
        <w:pBdr>
          <w:bottom w:val="single" w:color="1F3B57" w:sz="6" w:space="4"/>
        </w:pBdr>
        <w:spacing w:after="160" w:before="320"/>
      </w:pPr>
      <w:r>
        <w:rPr>
          <w:b/>
          <w:bCs/>
          <w:color w:val="1F3B57"/>
          <w:sz w:val="28"/>
          <w:szCs w:val="28"/>
        </w:rPr>
        <w:t xml:space="preserve">Cronograma sugerido — próximos 4 meses</w:t>
      </w:r>
    </w:p>
    <w:p>
      <w:pPr>
        <w:spacing w:after="120"/>
      </w:pPr>
      <w:r>
        <w:rPr>
          <w:sz w:val="21"/>
          <w:szCs w:val="21"/>
        </w:rPr>
        <w:t xml:space="preserve">Ejecución propuesta desde septiembre hasta diciembre de 2026. Como este período coincide con la temporada alta de fin de año, el cronograma prioriza primero los arreglos de sitio y la reserva anticipada de pedidos, y deja la preparación de las campañas de temporada baja (abril-julio 2027) para el cierre de diciembre.</w:t>
      </w:r>
    </w:p>
    <w:tbl>
      <w:tblPr>
        <w:tblW w:type="dxa" w:w="10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tblHeader/>
        </w:trPr>
        <w:tc>
          <w:tcPr>
            <w:tcW w:type="dxa" w:w="3400"/>
            <w:shd w:fill="1F3B57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Tarea</w:t>
            </w:r>
          </w:p>
        </w:tc>
        <w:tc>
          <w:tcPr>
            <w:tcW w:type="dxa" w:w="900"/>
            <w:shd w:fill="1F3B57" w:val="clear"/>
            <w:tcMar>
              <w:top w:type="dxa" w:w="40"/>
              <w:left w:type="dxa" w:w="20"/>
              <w:bottom w:type="dxa" w:w="40"/>
              <w:right w:type="dxa" w:w="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Sept</w:t>
            </w:r>
          </w:p>
          <w:p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S1-2</w:t>
            </w:r>
          </w:p>
        </w:tc>
        <w:tc>
          <w:tcPr>
            <w:tcW w:type="dxa" w:w="900"/>
            <w:shd w:fill="1F3B57" w:val="clear"/>
            <w:tcMar>
              <w:top w:type="dxa" w:w="40"/>
              <w:left w:type="dxa" w:w="20"/>
              <w:bottom w:type="dxa" w:w="40"/>
              <w:right w:type="dxa" w:w="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Sept</w:t>
            </w:r>
          </w:p>
          <w:p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S3-4</w:t>
            </w:r>
          </w:p>
        </w:tc>
        <w:tc>
          <w:tcPr>
            <w:tcW w:type="dxa" w:w="900"/>
            <w:shd w:fill="1F3B57" w:val="clear"/>
            <w:tcMar>
              <w:top w:type="dxa" w:w="40"/>
              <w:left w:type="dxa" w:w="20"/>
              <w:bottom w:type="dxa" w:w="40"/>
              <w:right w:type="dxa" w:w="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Oct</w:t>
            </w:r>
          </w:p>
          <w:p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S1-2</w:t>
            </w:r>
          </w:p>
        </w:tc>
        <w:tc>
          <w:tcPr>
            <w:tcW w:type="dxa" w:w="900"/>
            <w:shd w:fill="1F3B57" w:val="clear"/>
            <w:tcMar>
              <w:top w:type="dxa" w:w="40"/>
              <w:left w:type="dxa" w:w="20"/>
              <w:bottom w:type="dxa" w:w="40"/>
              <w:right w:type="dxa" w:w="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Oct</w:t>
            </w:r>
          </w:p>
          <w:p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S3-4</w:t>
            </w:r>
          </w:p>
        </w:tc>
        <w:tc>
          <w:tcPr>
            <w:tcW w:type="dxa" w:w="900"/>
            <w:shd w:fill="1F3B57" w:val="clear"/>
            <w:tcMar>
              <w:top w:type="dxa" w:w="40"/>
              <w:left w:type="dxa" w:w="20"/>
              <w:bottom w:type="dxa" w:w="40"/>
              <w:right w:type="dxa" w:w="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Nov</w:t>
            </w:r>
          </w:p>
          <w:p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S1-2</w:t>
            </w:r>
          </w:p>
        </w:tc>
        <w:tc>
          <w:tcPr>
            <w:tcW w:type="dxa" w:w="900"/>
            <w:shd w:fill="1F3B57" w:val="clear"/>
            <w:tcMar>
              <w:top w:type="dxa" w:w="40"/>
              <w:left w:type="dxa" w:w="20"/>
              <w:bottom w:type="dxa" w:w="40"/>
              <w:right w:type="dxa" w:w="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Nov</w:t>
            </w:r>
          </w:p>
          <w:p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S3-4</w:t>
            </w:r>
          </w:p>
        </w:tc>
        <w:tc>
          <w:tcPr>
            <w:tcW w:type="dxa" w:w="900"/>
            <w:shd w:fill="1F3B57" w:val="clear"/>
            <w:tcMar>
              <w:top w:type="dxa" w:w="40"/>
              <w:left w:type="dxa" w:w="20"/>
              <w:bottom w:type="dxa" w:w="40"/>
              <w:right w:type="dxa" w:w="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Dic</w:t>
            </w:r>
          </w:p>
          <w:p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S1-2</w:t>
            </w:r>
          </w:p>
        </w:tc>
        <w:tc>
          <w:tcPr>
            <w:tcW w:type="dxa" w:w="900"/>
            <w:shd w:fill="1F3B57" w:val="clear"/>
            <w:tcMar>
              <w:top w:type="dxa" w:w="40"/>
              <w:left w:type="dxa" w:w="20"/>
              <w:bottom w:type="dxa" w:w="40"/>
              <w:right w:type="dxa" w:w="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Dic</w:t>
            </w:r>
          </w:p>
          <w:p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S3-4</w:t>
            </w:r>
          </w:p>
        </w:tc>
      </w:tr>
      <w:tr>
        <w:tc>
          <w:tcPr>
            <w:tcW w:type="dxa" w:w="34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 w:val="false"/>
                <w:bCs w:val="false"/>
                <w:color w:val="1A1A1A"/>
                <w:sz w:val="18"/>
                <w:szCs w:val="18"/>
              </w:rPr>
              <w:t xml:space="preserve">Casos de éxito + logos reales en el sitio (Sthil, EY, Magistral, Barentz, Travel Tips)</w:t>
            </w:r>
          </w:p>
        </w:tc>
        <w:tc>
          <w:tcPr>
            <w:tcW w:type="dxa" w:w="900"/>
            <w:shd w:fill="5B8DB8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5B8DB8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FFFFFF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FFFFFF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FFFFFF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FFFFFF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FFFFFF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FFFFFF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3400"/>
            <w:shd w:fill="EDEFF2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 w:val="false"/>
                <w:bCs w:val="false"/>
                <w:color w:val="1A1A1A"/>
                <w:sz w:val="18"/>
                <w:szCs w:val="18"/>
              </w:rPr>
              <w:t xml:space="preserve">Renombrar productos y separar landing B2B de eventos sociales</w:t>
            </w:r>
          </w:p>
        </w:tc>
        <w:tc>
          <w:tcPr>
            <w:tcW w:type="dxa" w:w="900"/>
            <w:shd w:fill="5B8DB8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5B8DB8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EDEFF2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EDEFF2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EDEFF2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EDEFF2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EDEFF2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EDEFF2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34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 w:val="false"/>
                <w:bCs w:val="false"/>
                <w:color w:val="1A1A1A"/>
                <w:sz w:val="18"/>
                <w:szCs w:val="18"/>
              </w:rPr>
              <w:t xml:space="preserve">FAQ de objeciones B2B + política de garantía publicada</w:t>
            </w:r>
          </w:p>
        </w:tc>
        <w:tc>
          <w:tcPr>
            <w:tcW w:type="dxa" w:w="900"/>
            <w:shd w:fill="FFFFFF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5B8DB8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5B8DB8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FFFFFF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FFFFFF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FFFFFF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FFFFFF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FFFFFF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3400"/>
            <w:shd w:fill="EDEFF2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 w:val="false"/>
                <w:bCs w:val="false"/>
                <w:color w:val="1A1A1A"/>
                <w:sz w:val="18"/>
                <w:szCs w:val="18"/>
              </w:rPr>
              <w:t xml:space="preserve">Campaña "reserva anticipada" a cartera actual (Sthil, EY, Magistral, Barentz, Travel Tips)</w:t>
            </w:r>
          </w:p>
        </w:tc>
        <w:tc>
          <w:tcPr>
            <w:tcW w:type="dxa" w:w="900"/>
            <w:shd w:fill="EDEFF2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C97B3D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C97B3D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C97B3D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C97B3D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EDEFF2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EDEFF2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EDEFF2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34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 w:val="false"/>
                <w:bCs w:val="false"/>
                <w:color w:val="1A1A1A"/>
                <w:sz w:val="18"/>
                <w:szCs w:val="18"/>
              </w:rPr>
              <w:t xml:space="preserve">Contenido Instagram: detrás de escena + testimonios en video</w:t>
            </w:r>
          </w:p>
        </w:tc>
        <w:tc>
          <w:tcPr>
            <w:tcW w:type="dxa" w:w="900"/>
            <w:shd w:fill="5B8DB8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5B8DB8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5B8DB8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5B8DB8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5B8DB8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5B8DB8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5B8DB8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5B8DB8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3400"/>
            <w:shd w:fill="EDEFF2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 w:val="false"/>
                <w:bCs w:val="false"/>
                <w:color w:val="1A1A1A"/>
                <w:sz w:val="18"/>
                <w:szCs w:val="18"/>
              </w:rPr>
              <w:t xml:space="preserve">Propuesta piloto de ingresos recurrentes (reposición uniformes / kits por suscripción) a 2-3 clientes</w:t>
            </w:r>
          </w:p>
        </w:tc>
        <w:tc>
          <w:tcPr>
            <w:tcW w:type="dxa" w:w="900"/>
            <w:shd w:fill="EDEFF2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EDEFF2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EDEFF2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C97B3D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C97B3D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C97B3D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EDEFF2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EDEFF2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34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 w:val="false"/>
                <w:bCs w:val="false"/>
                <w:color w:val="1A1A1A"/>
                <w:sz w:val="18"/>
                <w:szCs w:val="18"/>
              </w:rPr>
              <w:t xml:space="preserve">Producción y entrega temporada alta de fin de año</w:t>
            </w:r>
          </w:p>
        </w:tc>
        <w:tc>
          <w:tcPr>
            <w:tcW w:type="dxa" w:w="900"/>
            <w:shd w:fill="FFFFFF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FFFFFF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FFFFFF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FFFFFF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C97B3D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C97B3D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C97B3D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C97B3D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3400"/>
            <w:shd w:fill="EDEFF2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b w:val="false"/>
                <w:bCs w:val="false"/>
                <w:color w:val="1A1A1A"/>
                <w:sz w:val="18"/>
                <w:szCs w:val="18"/>
              </w:rPr>
              <w:t xml:space="preserve">Planificación de campaña Día del Trabajador / Día del Amigo para la temporada baja 2027</w:t>
            </w:r>
          </w:p>
        </w:tc>
        <w:tc>
          <w:tcPr>
            <w:tcW w:type="dxa" w:w="900"/>
            <w:shd w:fill="EDEFF2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EDEFF2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EDEFF2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EDEFF2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EDEFF2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EDEFF2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5B8DB8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shd w:fill="5B8DB8" w:val="clear"/>
            <w:tcMar>
              <w:top w:type="dxa" w:w="40"/>
              <w:left w:type="dxa" w:w="20"/>
              <w:bottom w:type="dxa" w:w="40"/>
              <w:right w:type="dxa" w:w="20"/>
            </w:tcMar>
          </w:tcPr>
          <w:p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before="200"/>
      </w:pPr>
      <w:r>
        <w:rPr>
          <w:sz w:val="18"/>
          <w:szCs w:val="18"/>
        </w:rPr>
        <w:t xml:space="preserve">     </w:t>
      </w:r>
      <w:r>
        <w:rPr>
          <w:i/>
          <w:iCs/>
          <w:color w:val="666666"/>
          <w:sz w:val="18"/>
          <w:szCs w:val="18"/>
        </w:rPr>
        <w:t xml:space="preserve"> Períodos de ejecución de cada tarea sobre la línea de tiempo.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2026-08-21T17:25:27.116Z</dcterms:created>
  <dcterms:modified xsi:type="dcterms:W3CDTF">2026-08-21T17:25:27.131Z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